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 w:hAnsi="仿宋" w:eastAsia="仿宋"/>
          <w:sz w:val="28"/>
          <w:szCs w:val="28"/>
        </w:rPr>
      </w:pPr>
      <w:r>
        <w:rPr>
          <w:rFonts w:hint="eastAsia" w:ascii="仿宋" w:hAnsi="仿宋" w:eastAsia="仿宋"/>
          <w:sz w:val="28"/>
          <w:szCs w:val="28"/>
        </w:rPr>
        <w:t>附件一：</w:t>
      </w:r>
    </w:p>
    <w:p>
      <w:pPr>
        <w:spacing w:line="400" w:lineRule="exact"/>
        <w:jc w:val="center"/>
        <w:rPr>
          <w:rFonts w:ascii="仿宋" w:hAnsi="仿宋" w:eastAsia="仿宋"/>
          <w:b/>
          <w:bCs/>
          <w:color w:val="000000"/>
          <w:sz w:val="30"/>
          <w:szCs w:val="30"/>
        </w:rPr>
      </w:pPr>
    </w:p>
    <w:p>
      <w:pPr>
        <w:spacing w:line="400" w:lineRule="exact"/>
        <w:jc w:val="center"/>
        <w:rPr>
          <w:rFonts w:ascii="仿宋" w:hAnsi="仿宋" w:eastAsia="仿宋"/>
          <w:b/>
          <w:bCs/>
          <w:color w:val="000000"/>
          <w:sz w:val="30"/>
          <w:szCs w:val="30"/>
        </w:rPr>
      </w:pPr>
      <w:r>
        <w:rPr>
          <w:rFonts w:hint="eastAsia" w:ascii="仿宋" w:hAnsi="仿宋" w:eastAsia="仿宋"/>
          <w:b/>
          <w:bCs/>
          <w:color w:val="000000"/>
          <w:sz w:val="30"/>
          <w:szCs w:val="30"/>
        </w:rPr>
        <w:t>上海财经大学浙江学院</w:t>
      </w:r>
      <w:r>
        <w:rPr>
          <w:rFonts w:hint="eastAsia" w:ascii="仿宋" w:hAnsi="仿宋" w:eastAsia="仿宋"/>
          <w:b/>
          <w:bCs/>
          <w:color w:val="000000"/>
          <w:sz w:val="30"/>
          <w:szCs w:val="30"/>
          <w:lang w:eastAsia="zh-CN"/>
        </w:rPr>
        <w:t>一系一品视频拍摄服务</w:t>
      </w:r>
      <w:r>
        <w:rPr>
          <w:rFonts w:hint="eastAsia" w:ascii="仿宋" w:hAnsi="仿宋" w:eastAsia="仿宋"/>
          <w:b/>
          <w:bCs/>
          <w:color w:val="000000"/>
          <w:sz w:val="30"/>
          <w:szCs w:val="30"/>
        </w:rPr>
        <w:t>采购需求</w:t>
      </w:r>
    </w:p>
    <w:p>
      <w:pPr>
        <w:spacing w:line="400" w:lineRule="exact"/>
        <w:jc w:val="center"/>
        <w:rPr>
          <w:rFonts w:ascii="仿宋" w:hAnsi="仿宋" w:eastAsia="仿宋"/>
          <w:sz w:val="28"/>
          <w:szCs w:val="28"/>
        </w:rPr>
      </w:pPr>
    </w:p>
    <w:p>
      <w:pPr>
        <w:spacing w:line="520" w:lineRule="exact"/>
        <w:jc w:val="left"/>
        <w:rPr>
          <w:rFonts w:hint="default" w:ascii="仿宋_GB2312" w:hAnsi="仿宋" w:eastAsia="仿宋_GB2312"/>
          <w:sz w:val="24"/>
          <w:lang w:val="en-US" w:eastAsia="zh-CN"/>
        </w:rPr>
      </w:pPr>
      <w:r>
        <w:rPr>
          <w:rFonts w:ascii="仿宋_GB2312" w:hAnsi="仿宋" w:eastAsia="仿宋_GB2312"/>
          <w:sz w:val="24"/>
        </w:rPr>
        <w:t>采购单位名称：</w:t>
      </w:r>
      <w:r>
        <w:rPr>
          <w:rFonts w:hint="eastAsia" w:ascii="仿宋_GB2312" w:hAnsi="仿宋" w:eastAsia="仿宋_GB2312"/>
          <w:sz w:val="24"/>
          <w:lang w:val="en-US" w:eastAsia="zh-CN"/>
        </w:rPr>
        <w:t>上海财经大学浙江学院</w:t>
      </w:r>
    </w:p>
    <w:p>
      <w:pPr>
        <w:spacing w:line="520" w:lineRule="exact"/>
        <w:jc w:val="left"/>
        <w:rPr>
          <w:rFonts w:ascii="仿宋_GB2312" w:hAnsi="仿宋" w:eastAsia="仿宋_GB2312"/>
          <w:sz w:val="24"/>
        </w:rPr>
      </w:pPr>
      <w:r>
        <w:rPr>
          <w:rFonts w:ascii="仿宋_GB2312" w:hAnsi="仿宋" w:eastAsia="仿宋_GB2312"/>
          <w:sz w:val="24"/>
        </w:rPr>
        <w:t>一、项目要求</w:t>
      </w:r>
    </w:p>
    <w:tbl>
      <w:tblPr>
        <w:tblStyle w:val="7"/>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6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仿宋" w:eastAsia="仿宋_GB2312"/>
                <w:sz w:val="24"/>
              </w:rPr>
            </w:pPr>
            <w:r>
              <w:rPr>
                <w:rFonts w:hint="eastAsia" w:ascii="仿宋_GB2312" w:hAnsi="仿宋" w:eastAsia="仿宋_GB2312"/>
                <w:sz w:val="24"/>
              </w:rPr>
              <w:t>项目名称</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 w:hAnsi="仿宋" w:eastAsia="仿宋"/>
                <w:szCs w:val="21"/>
              </w:rPr>
            </w:pPr>
            <w:r>
              <w:rPr>
                <w:rFonts w:hint="eastAsia" w:ascii="仿宋" w:hAnsi="仿宋" w:eastAsia="仿宋" w:cs="Times New Roman"/>
                <w:szCs w:val="24"/>
              </w:rPr>
              <w:t>一系一品拍摄服务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仿宋" w:eastAsia="仿宋_GB2312"/>
                <w:sz w:val="24"/>
              </w:rPr>
            </w:pPr>
            <w:r>
              <w:rPr>
                <w:rFonts w:ascii="仿宋_GB2312" w:hAnsi="仿宋" w:eastAsia="仿宋_GB2312"/>
                <w:sz w:val="24"/>
              </w:rPr>
              <w:t>采购内容</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 w:hAnsi="仿宋" w:eastAsia="仿宋"/>
                <w:szCs w:val="21"/>
              </w:rPr>
            </w:pPr>
            <w:r>
              <w:rPr>
                <w:rFonts w:hint="eastAsia" w:ascii="仿宋" w:hAnsi="仿宋" w:eastAsia="仿宋"/>
                <w:szCs w:val="21"/>
              </w:rPr>
              <w:t>视频拍摄制作服务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仿宋" w:eastAsia="仿宋_GB2312"/>
                <w:sz w:val="24"/>
              </w:rPr>
            </w:pPr>
            <w:r>
              <w:rPr>
                <w:rFonts w:ascii="仿宋_GB2312" w:hAnsi="仿宋" w:eastAsia="仿宋_GB2312"/>
                <w:sz w:val="24"/>
              </w:rPr>
              <w:t>规格及型号</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rPr>
                <w:rFonts w:ascii="仿宋" w:hAnsi="仿宋" w:eastAsia="仿宋"/>
                <w:szCs w:val="21"/>
              </w:rPr>
            </w:pPr>
            <w:r>
              <w:rPr>
                <w:rFonts w:hint="eastAsia" w:ascii="仿宋" w:hAnsi="仿宋" w:eastAsia="仿宋"/>
                <w:szCs w:val="21"/>
              </w:rPr>
              <w:t>5分钟视频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仿宋" w:eastAsia="仿宋_GB2312"/>
                <w:sz w:val="24"/>
              </w:rPr>
            </w:pPr>
            <w:r>
              <w:rPr>
                <w:rFonts w:ascii="仿宋_GB2312" w:hAnsi="仿宋" w:eastAsia="仿宋_GB2312"/>
                <w:sz w:val="24"/>
              </w:rPr>
              <w:t>单位及数量</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 w:hAnsi="仿宋" w:eastAsia="仿宋" w:cs="Times New Roman"/>
              </w:rPr>
            </w:pPr>
            <w:r>
              <w:rPr>
                <w:rFonts w:hint="eastAsia" w:ascii="仿宋" w:hAnsi="仿宋" w:eastAsia="仿宋" w:cs="Times New Roman"/>
              </w:rPr>
              <w:t>1(个)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tcPr>
          <w:p>
            <w:pPr>
              <w:spacing w:line="520" w:lineRule="exact"/>
              <w:jc w:val="left"/>
              <w:rPr>
                <w:rFonts w:ascii="仿宋_GB2312" w:hAnsi="仿宋" w:eastAsia="仿宋_GB2312"/>
                <w:sz w:val="24"/>
              </w:rPr>
            </w:pPr>
            <w:r>
              <w:rPr>
                <w:rFonts w:ascii="仿宋_GB2312" w:hAnsi="仿宋" w:eastAsia="仿宋_GB2312"/>
                <w:sz w:val="24"/>
              </w:rPr>
              <w:t>用途</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hint="eastAsia" w:ascii="仿宋" w:hAnsi="仿宋" w:eastAsia="仿宋" w:cs="Times New Roman"/>
                <w:lang w:eastAsia="zh-CN"/>
              </w:rPr>
            </w:pPr>
            <w:r>
              <w:rPr>
                <w:rFonts w:hint="eastAsia" w:ascii="仿宋" w:hAnsi="仿宋" w:eastAsia="仿宋" w:cs="Times New Roman"/>
              </w:rPr>
              <w:t>建党百年宣传视频</w:t>
            </w:r>
            <w:r>
              <w:rPr>
                <w:rFonts w:hint="eastAsia" w:ascii="仿宋" w:hAnsi="仿宋" w:eastAsia="仿宋" w:cs="Times New Roman"/>
                <w:lang w:eastAsia="zh-CN"/>
              </w:rPr>
              <w:t>，</w:t>
            </w:r>
            <w:r>
              <w:rPr>
                <w:rFonts w:hint="eastAsia" w:ascii="仿宋" w:hAnsi="仿宋" w:eastAsia="仿宋" w:cs="Times New Roman"/>
                <w:szCs w:val="24"/>
              </w:rPr>
              <w:t>提升工商管理系系部内涵</w:t>
            </w:r>
            <w:r>
              <w:rPr>
                <w:rFonts w:hint="eastAsia" w:ascii="仿宋" w:hAnsi="仿宋" w:eastAsia="仿宋" w:cs="Times New Roman"/>
                <w:szCs w:val="24"/>
                <w:lang w:eastAsia="zh-CN"/>
              </w:rPr>
              <w:t>。</w:t>
            </w:r>
          </w:p>
        </w:tc>
      </w:tr>
    </w:tbl>
    <w:p>
      <w:pPr>
        <w:spacing w:line="520" w:lineRule="exact"/>
        <w:jc w:val="left"/>
        <w:rPr>
          <w:rFonts w:hAnsi="宋体"/>
          <w:szCs w:val="21"/>
        </w:rPr>
      </w:pPr>
      <w:r>
        <w:rPr>
          <w:rFonts w:ascii="仿宋_GB2312" w:hAnsi="仿宋" w:eastAsia="仿宋_GB2312"/>
          <w:sz w:val="24"/>
        </w:rPr>
        <w:t>二、技术需求表</w:t>
      </w:r>
    </w:p>
    <w:tbl>
      <w:tblPr>
        <w:tblStyle w:val="7"/>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8"/>
        <w:gridCol w:w="720"/>
        <w:gridCol w:w="6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r>
              <w:rPr>
                <w:rFonts w:ascii="仿宋_GB2312" w:hAnsi="仿宋" w:eastAsia="仿宋_GB2312"/>
                <w:sz w:val="24"/>
              </w:rPr>
              <w:t>功</w:t>
            </w:r>
            <w:r>
              <w:rPr>
                <w:rFonts w:hint="eastAsia" w:ascii="仿宋_GB2312" w:hAnsi="仿宋" w:eastAsia="仿宋_GB2312"/>
                <w:sz w:val="24"/>
              </w:rPr>
              <w:t xml:space="preserve"> </w:t>
            </w:r>
            <w:r>
              <w:rPr>
                <w:rFonts w:ascii="仿宋_GB2312" w:hAnsi="仿宋" w:eastAsia="仿宋_GB2312"/>
                <w:sz w:val="24"/>
              </w:rPr>
              <w:t>能要</w:t>
            </w:r>
            <w:r>
              <w:rPr>
                <w:rFonts w:hint="eastAsia" w:ascii="仿宋_GB2312" w:hAnsi="仿宋" w:eastAsia="仿宋_GB2312"/>
                <w:sz w:val="24"/>
              </w:rPr>
              <w:t xml:space="preserve"> </w:t>
            </w:r>
            <w:r>
              <w:rPr>
                <w:rFonts w:ascii="仿宋_GB2312" w:hAnsi="仿宋" w:eastAsia="仿宋_GB2312"/>
                <w:sz w:val="24"/>
              </w:rPr>
              <w:t>求</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r>
              <w:rPr>
                <w:rFonts w:ascii="仿宋_GB2312" w:hAnsi="仿宋" w:eastAsia="仿宋_GB2312"/>
                <w:sz w:val="24"/>
              </w:rPr>
              <w:t>必要功能</w:t>
            </w:r>
          </w:p>
        </w:tc>
        <w:tc>
          <w:tcPr>
            <w:tcW w:w="698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sz w:val="24"/>
              </w:rPr>
            </w:pPr>
            <w:r>
              <w:rPr>
                <w:rFonts w:hint="eastAsia" w:ascii="仿宋_GB2312" w:hAnsi="Times New Roman" w:eastAsia="仿宋_GB2312" w:cs="仿宋_GB2312"/>
                <w:kern w:val="0"/>
                <w:sz w:val="24"/>
                <w:szCs w:val="24"/>
              </w:rPr>
              <w:t>视频时长为五分钟，集中展示系部的党建，工作，成果等多方面的内容，提升系部自身价值建设，为建党百年献礼。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698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sz w:val="24"/>
                <w:szCs w:val="24"/>
              </w:rPr>
            </w:pPr>
            <w:r>
              <w:rPr>
                <w:rFonts w:hint="eastAsia" w:ascii="仿宋_GB2312" w:hAnsi="仿宋" w:eastAsia="仿宋_GB2312"/>
                <w:sz w:val="24"/>
                <w:szCs w:val="24"/>
              </w:rPr>
              <w:t>视频可以投放各大门户网站，自媒体平台，官网，官微作为媒体宣传的重要组成内容。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69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r>
              <w:rPr>
                <w:rFonts w:hint="eastAsia" w:ascii="仿宋" w:hAnsi="仿宋" w:eastAsia="仿宋"/>
                <w:sz w:val="24"/>
              </w:rPr>
              <w:t>视频可以作为党建线上教育的组成部分，有较好的教育效果，可以传播到每一个人进行学习讨论。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69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r>
              <w:rPr>
                <w:rFonts w:hint="eastAsia" w:ascii="仿宋" w:hAnsi="仿宋" w:eastAsia="仿宋"/>
                <w:sz w:val="24"/>
              </w:rPr>
              <w:t>作为一个集合信息内容的视频，可以提升整体系部的精神文化内涵和感召力，以及视频内相关的视觉设计可以将系部建设成果内容更有层次和视觉感召力的呈现出来。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520" w:lineRule="exact"/>
              <w:outlineLvl w:val="0"/>
              <w:rPr>
                <w:rFonts w:ascii="仿宋_GB2312" w:hAnsi="仿宋" w:eastAsia="仿宋_GB2312"/>
              </w:rPr>
            </w:pPr>
            <w:r>
              <w:rPr>
                <w:rFonts w:ascii="仿宋_GB2312" w:hAnsi="仿宋" w:eastAsia="仿宋_GB2312"/>
              </w:rPr>
              <w:t>辅助功能</w:t>
            </w:r>
          </w:p>
        </w:tc>
        <w:tc>
          <w:tcPr>
            <w:tcW w:w="6980"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 w:hAnsi="仿宋" w:eastAsia="仿宋"/>
                <w:sz w:val="24"/>
              </w:rPr>
            </w:pPr>
            <w:r>
              <w:rPr>
                <w:rFonts w:hint="eastAsia" w:ascii="仿宋" w:hAnsi="仿宋" w:eastAsia="仿宋"/>
                <w:sz w:val="24"/>
              </w:rPr>
              <w:t>视频结合建党一百周年的视觉设计进行配套设计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6980"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 w:hAnsi="仿宋" w:eastAsia="仿宋"/>
                <w:sz w:val="24"/>
              </w:rPr>
            </w:pPr>
            <w:r>
              <w:rPr>
                <w:rFonts w:hint="eastAsia" w:ascii="仿宋" w:hAnsi="仿宋" w:eastAsia="仿宋"/>
                <w:sz w:val="24"/>
              </w:rPr>
              <w:t>视频投放各大网络平台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6980"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 w:hAnsi="仿宋" w:eastAsia="仿宋"/>
                <w:sz w:val="24"/>
              </w:rPr>
            </w:pPr>
            <w:r>
              <w:rPr>
                <w:rFonts w:hint="eastAsia" w:ascii="仿宋" w:hAnsi="仿宋" w:eastAsia="仿宋"/>
                <w:sz w:val="24"/>
              </w:rPr>
              <w:t>视频专业配音，以及字幕配套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8" w:type="dxa"/>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r>
              <w:rPr>
                <w:rFonts w:ascii="仿宋_GB2312" w:hAnsi="仿宋" w:eastAsia="仿宋_GB2312"/>
                <w:sz w:val="24"/>
              </w:rPr>
              <w:t>性</w:t>
            </w:r>
            <w:r>
              <w:rPr>
                <w:rFonts w:hint="eastAsia" w:ascii="仿宋_GB2312" w:hAnsi="仿宋" w:eastAsia="仿宋_GB2312"/>
                <w:sz w:val="24"/>
              </w:rPr>
              <w:t xml:space="preserve"> </w:t>
            </w:r>
            <w:r>
              <w:rPr>
                <w:rFonts w:ascii="仿宋_GB2312" w:hAnsi="仿宋" w:eastAsia="仿宋_GB2312"/>
                <w:sz w:val="24"/>
              </w:rPr>
              <w:t>能及</w:t>
            </w:r>
            <w:r>
              <w:rPr>
                <w:rFonts w:hint="eastAsia" w:ascii="仿宋_GB2312" w:hAnsi="仿宋" w:eastAsia="仿宋_GB2312"/>
                <w:sz w:val="24"/>
              </w:rPr>
              <w:t xml:space="preserve"> </w:t>
            </w:r>
            <w:r>
              <w:rPr>
                <w:rFonts w:ascii="仿宋_GB2312" w:hAnsi="仿宋" w:eastAsia="仿宋_GB2312"/>
                <w:sz w:val="24"/>
              </w:rPr>
              <w:t>技术</w:t>
            </w:r>
            <w:r>
              <w:rPr>
                <w:rFonts w:hint="eastAsia" w:ascii="仿宋_GB2312" w:hAnsi="仿宋" w:eastAsia="仿宋_GB2312"/>
                <w:sz w:val="24"/>
              </w:rPr>
              <w:t xml:space="preserve"> </w:t>
            </w:r>
            <w:r>
              <w:rPr>
                <w:rFonts w:ascii="仿宋_GB2312" w:hAnsi="仿宋" w:eastAsia="仿宋_GB2312"/>
                <w:sz w:val="24"/>
              </w:rPr>
              <w:t>指标</w:t>
            </w:r>
          </w:p>
        </w:tc>
        <w:tc>
          <w:tcPr>
            <w:tcW w:w="720" w:type="dxa"/>
            <w:vMerge w:val="restart"/>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r>
              <w:rPr>
                <w:rFonts w:ascii="仿宋_GB2312" w:hAnsi="仿宋" w:eastAsia="仿宋_GB2312"/>
                <w:sz w:val="24"/>
              </w:rPr>
              <w:t>主要技术指标</w:t>
            </w:r>
          </w:p>
        </w:tc>
        <w:tc>
          <w:tcPr>
            <w:tcW w:w="6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稳定性：全片图像同步性能稳定，无失步现象。</w:t>
            </w:r>
          </w:p>
          <w:p>
            <w:pPr>
              <w:autoSpaceDE w:val="0"/>
              <w:autoSpaceDN w:val="0"/>
              <w:adjustRightInd w:val="0"/>
              <w:jc w:val="left"/>
              <w:rPr>
                <w:rFonts w:ascii="仿宋_GB2312" w:hAnsi="Times New Roman" w:eastAsia="仿宋_GB2312" w:cs="仿宋_GB2312"/>
                <w:kern w:val="0"/>
                <w:sz w:val="24"/>
                <w:szCs w:val="24"/>
              </w:rPr>
            </w:pPr>
            <w:r>
              <w:rPr>
                <w:rFonts w:ascii="仿宋_GB2312" w:hAnsi="Times New Roman" w:eastAsia="仿宋_GB2312" w:cs="仿宋_GB2312"/>
                <w:kern w:val="0"/>
                <w:sz w:val="24"/>
                <w:szCs w:val="24"/>
              </w:rPr>
              <w:t xml:space="preserve">CTL </w:t>
            </w:r>
            <w:r>
              <w:rPr>
                <w:rFonts w:hint="eastAsia" w:ascii="仿宋_GB2312" w:hAnsi="Times New Roman" w:eastAsia="仿宋_GB2312" w:cs="仿宋_GB2312"/>
                <w:kern w:val="0"/>
                <w:sz w:val="24"/>
                <w:szCs w:val="24"/>
              </w:rPr>
              <w:t>同步控制信号必须连续：图像无抖动跳跃，色彩无突变，</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编辑点处图像稳定。信噪比：图像信噪比不低于</w:t>
            </w:r>
            <w:r>
              <w:rPr>
                <w:rFonts w:ascii="仿宋_GB2312" w:hAnsi="Times New Roman" w:eastAsia="仿宋_GB2312" w:cs="仿宋_GB2312"/>
                <w:kern w:val="0"/>
                <w:sz w:val="24"/>
                <w:szCs w:val="24"/>
              </w:rPr>
              <w:t>55dB</w:t>
            </w:r>
            <w:r>
              <w:rPr>
                <w:rFonts w:hint="eastAsia" w:ascii="仿宋_GB2312" w:hAnsi="Times New Roman" w:eastAsia="仿宋_GB2312" w:cs="仿宋_GB2312"/>
                <w:kern w:val="0"/>
                <w:sz w:val="24"/>
                <w:szCs w:val="24"/>
              </w:rPr>
              <w:t>，无明显杂波。色调：白平衡正确，无明显偏色，多机拍摄的镜头衔接处无明显色差。视频电平：视频全讯号幅度为</w:t>
            </w:r>
            <w:r>
              <w:rPr>
                <w:rFonts w:ascii="仿宋_GB2312" w:hAnsi="Times New Roman" w:eastAsia="仿宋_GB2312" w:cs="仿宋_GB2312"/>
                <w:kern w:val="0"/>
                <w:sz w:val="24"/>
                <w:szCs w:val="24"/>
              </w:rPr>
              <w:t>1</w:t>
            </w:r>
            <w:r>
              <w:rPr>
                <w:rFonts w:hint="eastAsia" w:ascii="仿宋_GB2312" w:hAnsi="Times New Roman" w:eastAsia="仿宋_GB2312" w:cs="仿宋_GB2312"/>
                <w:kern w:val="0"/>
                <w:sz w:val="24"/>
                <w:szCs w:val="24"/>
              </w:rPr>
              <w:t>Ⅴ</w:t>
            </w:r>
            <w:r>
              <w:rPr>
                <w:rFonts w:ascii="仿宋_GB2312" w:hAnsi="Times New Roman" w:eastAsia="仿宋_GB2312" w:cs="仿宋_GB2312"/>
                <w:kern w:val="0"/>
                <w:sz w:val="24"/>
                <w:szCs w:val="24"/>
              </w:rPr>
              <w:t>p-p</w:t>
            </w:r>
            <w:r>
              <w:rPr>
                <w:rFonts w:hint="eastAsia" w:ascii="仿宋_GB2312" w:hAnsi="Times New Roman" w:eastAsia="仿宋_GB2312" w:cs="仿宋_GB2312"/>
                <w:kern w:val="0"/>
                <w:sz w:val="24"/>
                <w:szCs w:val="24"/>
              </w:rPr>
              <w:t>，最大不超过</w:t>
            </w:r>
            <w:r>
              <w:rPr>
                <w:rFonts w:ascii="仿宋_GB2312" w:hAnsi="Times New Roman" w:eastAsia="仿宋_GB2312" w:cs="仿宋_GB2312"/>
                <w:kern w:val="0"/>
                <w:sz w:val="24"/>
                <w:szCs w:val="24"/>
              </w:rPr>
              <w:t>1.1</w:t>
            </w:r>
            <w:r>
              <w:rPr>
                <w:rFonts w:hint="eastAsia" w:ascii="仿宋_GB2312" w:hAnsi="Times New Roman" w:eastAsia="仿宋_GB2312" w:cs="仿宋_GB2312"/>
                <w:kern w:val="0"/>
                <w:sz w:val="24"/>
                <w:szCs w:val="24"/>
              </w:rPr>
              <w:t>Ⅴ</w:t>
            </w:r>
            <w:r>
              <w:rPr>
                <w:rFonts w:ascii="仿宋_GB2312" w:hAnsi="Times New Roman" w:eastAsia="仿宋_GB2312" w:cs="仿宋_GB2312"/>
                <w:kern w:val="0"/>
                <w:sz w:val="24"/>
                <w:szCs w:val="24"/>
              </w:rPr>
              <w:t xml:space="preserve"> p-p</w:t>
            </w:r>
            <w:r>
              <w:rPr>
                <w:rFonts w:hint="eastAsia" w:ascii="仿宋_GB2312" w:hAnsi="Times New Roman" w:eastAsia="仿宋_GB2312" w:cs="仿宋_GB2312"/>
                <w:kern w:val="0"/>
                <w:sz w:val="24"/>
                <w:szCs w:val="24"/>
              </w:rPr>
              <w:t>。其中，消隐电平为</w:t>
            </w:r>
            <w:r>
              <w:rPr>
                <w:rFonts w:ascii="仿宋_GB2312" w:hAnsi="Times New Roman" w:eastAsia="仿宋_GB2312" w:cs="仿宋_GB2312"/>
                <w:kern w:val="0"/>
                <w:sz w:val="24"/>
                <w:szCs w:val="24"/>
              </w:rPr>
              <w:t xml:space="preserve">0V </w:t>
            </w:r>
            <w:r>
              <w:rPr>
                <w:rFonts w:hint="eastAsia" w:ascii="仿宋_GB2312" w:hAnsi="Times New Roman" w:eastAsia="仿宋_GB2312" w:cs="仿宋_GB2312"/>
                <w:kern w:val="0"/>
                <w:sz w:val="24"/>
                <w:szCs w:val="24"/>
              </w:rPr>
              <w:t>时，白电平幅度</w:t>
            </w:r>
            <w:r>
              <w:rPr>
                <w:rFonts w:ascii="仿宋_GB2312" w:hAnsi="Times New Roman" w:eastAsia="仿宋_GB2312" w:cs="仿宋_GB2312"/>
                <w:kern w:val="0"/>
                <w:sz w:val="24"/>
                <w:szCs w:val="24"/>
              </w:rPr>
              <w:t>0.7</w:t>
            </w:r>
            <w:r>
              <w:rPr>
                <w:rFonts w:hint="eastAsia" w:ascii="仿宋_GB2312" w:hAnsi="Times New Roman" w:eastAsia="仿宋_GB2312" w:cs="仿宋_GB2312"/>
                <w:kern w:val="0"/>
                <w:sz w:val="24"/>
                <w:szCs w:val="24"/>
              </w:rPr>
              <w:t>Ⅴ</w:t>
            </w:r>
            <w:r>
              <w:rPr>
                <w:rFonts w:ascii="仿宋_GB2312" w:hAnsi="Times New Roman" w:eastAsia="仿宋_GB2312" w:cs="仿宋_GB2312"/>
                <w:kern w:val="0"/>
                <w:sz w:val="24"/>
                <w:szCs w:val="24"/>
              </w:rPr>
              <w:t>p-p</w:t>
            </w:r>
            <w:r>
              <w:rPr>
                <w:rFonts w:hint="eastAsia" w:ascii="仿宋_GB2312" w:hAnsi="Times New Roman" w:eastAsia="仿宋_GB2312" w:cs="仿宋_GB2312"/>
                <w:kern w:val="0"/>
                <w:sz w:val="24"/>
                <w:szCs w:val="24"/>
              </w:rPr>
              <w:t>，同步信号</w:t>
            </w:r>
            <w:r>
              <w:rPr>
                <w:rFonts w:ascii="仿宋_GB2312" w:hAnsi="Times New Roman" w:eastAsia="仿宋_GB2312" w:cs="仿宋_GB2312"/>
                <w:kern w:val="0"/>
                <w:sz w:val="24"/>
                <w:szCs w:val="24"/>
              </w:rPr>
              <w:t>-0.3V</w:t>
            </w:r>
            <w:r>
              <w:rPr>
                <w:rFonts w:hint="eastAsia" w:ascii="仿宋_GB2312" w:hAnsi="Times New Roman" w:eastAsia="仿宋_GB2312" w:cs="仿宋_GB2312"/>
                <w:kern w:val="0"/>
                <w:sz w:val="24"/>
                <w:szCs w:val="24"/>
              </w:rPr>
              <w:t>，色同步信号幅度</w:t>
            </w:r>
            <w:r>
              <w:rPr>
                <w:rFonts w:ascii="仿宋_GB2312" w:hAnsi="Times New Roman" w:eastAsia="仿宋_GB2312" w:cs="仿宋_GB2312"/>
                <w:kern w:val="0"/>
                <w:sz w:val="24"/>
                <w:szCs w:val="24"/>
              </w:rPr>
              <w:t>0.3V p-p (</w:t>
            </w:r>
            <w:r>
              <w:rPr>
                <w:rFonts w:hint="eastAsia" w:ascii="仿宋_GB2312" w:hAnsi="Times New Roman" w:eastAsia="仿宋_GB2312" w:cs="仿宋_GB2312"/>
                <w:kern w:val="0"/>
                <w:sz w:val="24"/>
                <w:szCs w:val="24"/>
              </w:rPr>
              <w:t>以消隐线上下对称</w:t>
            </w:r>
            <w:r>
              <w:rPr>
                <w:rFonts w:ascii="仿宋_GB2312" w:hAnsi="Times New Roman" w:eastAsia="仿宋_GB2312" w:cs="仿宋_GB2312"/>
                <w:kern w:val="0"/>
                <w:sz w:val="24"/>
                <w:szCs w:val="24"/>
              </w:rPr>
              <w:t>)</w:t>
            </w:r>
            <w:r>
              <w:rPr>
                <w:rFonts w:hint="eastAsia" w:ascii="仿宋_GB2312" w:hAnsi="Times New Roman" w:eastAsia="仿宋_GB2312" w:cs="仿宋_GB2312"/>
                <w:kern w:val="0"/>
                <w:sz w:val="24"/>
                <w:szCs w:val="24"/>
              </w:rPr>
              <w:t>，全片一致。视频压缩采用</w:t>
            </w:r>
            <w:r>
              <w:rPr>
                <w:rFonts w:ascii="仿宋_GB2312" w:hAnsi="Times New Roman" w:eastAsia="仿宋_GB2312" w:cs="仿宋_GB2312"/>
                <w:kern w:val="0"/>
                <w:sz w:val="24"/>
                <w:szCs w:val="24"/>
              </w:rPr>
              <w:t>H.264/AVC (MPEG-4 Part10)</w:t>
            </w:r>
            <w:r>
              <w:rPr>
                <w:rFonts w:hint="eastAsia" w:ascii="仿宋_GB2312" w:hAnsi="Times New Roman" w:eastAsia="仿宋_GB2312" w:cs="仿宋_GB2312"/>
                <w:kern w:val="0"/>
                <w:sz w:val="24"/>
                <w:szCs w:val="24"/>
              </w:rPr>
              <w:t>编码、</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使用二次编码、不包含字幕的</w:t>
            </w:r>
            <w:r>
              <w:rPr>
                <w:rFonts w:ascii="仿宋_GB2312" w:hAnsi="Times New Roman" w:eastAsia="仿宋_GB2312" w:cs="仿宋_GB2312"/>
                <w:kern w:val="0"/>
                <w:sz w:val="24"/>
                <w:szCs w:val="24"/>
              </w:rPr>
              <w:t xml:space="preserve">MP4 </w:t>
            </w:r>
            <w:r>
              <w:rPr>
                <w:rFonts w:hint="eastAsia" w:ascii="仿宋_GB2312" w:hAnsi="Times New Roman" w:eastAsia="仿宋_GB2312" w:cs="仿宋_GB2312"/>
                <w:kern w:val="0"/>
                <w:sz w:val="24"/>
                <w:szCs w:val="24"/>
              </w:rPr>
              <w:t>格式。视频压缩格式及技术参数（</w:t>
            </w:r>
            <w:r>
              <w:rPr>
                <w:rFonts w:ascii="仿宋_GB2312" w:hAnsi="Times New Roman" w:eastAsia="仿宋_GB2312" w:cs="仿宋_GB2312"/>
                <w:kern w:val="0"/>
                <w:sz w:val="24"/>
                <w:szCs w:val="24"/>
              </w:rPr>
              <w:t>1</w:t>
            </w:r>
            <w:r>
              <w:rPr>
                <w:rFonts w:hint="eastAsia" w:ascii="仿宋_GB2312" w:hAnsi="Times New Roman" w:eastAsia="仿宋_GB2312" w:cs="仿宋_GB2312"/>
                <w:kern w:val="0"/>
                <w:sz w:val="24"/>
                <w:szCs w:val="24"/>
              </w:rPr>
              <w:t>）视频压缩采用</w:t>
            </w:r>
            <w:r>
              <w:rPr>
                <w:rFonts w:ascii="仿宋_GB2312" w:hAnsi="Times New Roman" w:eastAsia="仿宋_GB2312" w:cs="仿宋_GB2312"/>
                <w:kern w:val="0"/>
                <w:sz w:val="24"/>
                <w:szCs w:val="24"/>
              </w:rPr>
              <w:t>H.264/AVC (MPEG-4 Part10)</w:t>
            </w:r>
            <w:r>
              <w:rPr>
                <w:rFonts w:hint="eastAsia" w:ascii="仿宋_GB2312" w:hAnsi="Times New Roman" w:eastAsia="仿宋_GB2312" w:cs="仿宋_GB2312"/>
                <w:kern w:val="0"/>
                <w:sz w:val="24"/>
                <w:szCs w:val="24"/>
              </w:rPr>
              <w:t>编码、</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使用二次编码、不包含字幕的</w:t>
            </w:r>
            <w:r>
              <w:rPr>
                <w:rFonts w:ascii="仿宋_GB2312" w:hAnsi="Times New Roman" w:eastAsia="仿宋_GB2312" w:cs="仿宋_GB2312"/>
                <w:kern w:val="0"/>
                <w:sz w:val="24"/>
                <w:szCs w:val="24"/>
              </w:rPr>
              <w:t xml:space="preserve">MP4 </w:t>
            </w:r>
            <w:r>
              <w:rPr>
                <w:rFonts w:hint="eastAsia" w:ascii="仿宋_GB2312" w:hAnsi="Times New Roman" w:eastAsia="仿宋_GB2312" w:cs="仿宋_GB2312"/>
                <w:kern w:val="0"/>
                <w:sz w:val="24"/>
                <w:szCs w:val="24"/>
              </w:rPr>
              <w:t>格式。（</w:t>
            </w:r>
            <w:r>
              <w:rPr>
                <w:rFonts w:ascii="仿宋_GB2312" w:hAnsi="Times New Roman" w:eastAsia="仿宋_GB2312" w:cs="仿宋_GB2312"/>
                <w:kern w:val="0"/>
                <w:sz w:val="24"/>
                <w:szCs w:val="24"/>
              </w:rPr>
              <w:t>2</w:t>
            </w:r>
            <w:r>
              <w:rPr>
                <w:rFonts w:hint="eastAsia" w:ascii="仿宋_GB2312" w:hAnsi="Times New Roman" w:eastAsia="仿宋_GB2312" w:cs="仿宋_GB2312"/>
                <w:kern w:val="0"/>
                <w:sz w:val="24"/>
                <w:szCs w:val="24"/>
              </w:rPr>
              <w:t>）视频码流率：动态码流的最低码率不得低于</w:t>
            </w:r>
            <w:r>
              <w:rPr>
                <w:rFonts w:ascii="仿宋_GB2312" w:hAnsi="Times New Roman" w:eastAsia="仿宋_GB2312" w:cs="仿宋_GB2312"/>
                <w:kern w:val="0"/>
                <w:sz w:val="24"/>
                <w:szCs w:val="24"/>
              </w:rPr>
              <w:t>1024Kb</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3</w:t>
            </w:r>
            <w:r>
              <w:rPr>
                <w:rFonts w:hint="eastAsia" w:ascii="仿宋_GB2312" w:hAnsi="Times New Roman" w:eastAsia="仿宋_GB2312" w:cs="仿宋_GB2312"/>
                <w:kern w:val="0"/>
                <w:sz w:val="24"/>
                <w:szCs w:val="24"/>
              </w:rPr>
              <w:t>）视频分辨率前期采用标清</w:t>
            </w:r>
            <w:r>
              <w:rPr>
                <w:rFonts w:ascii="仿宋_GB2312" w:hAnsi="Times New Roman" w:eastAsia="仿宋_GB2312" w:cs="仿宋_GB2312"/>
                <w:kern w:val="0"/>
                <w:sz w:val="24"/>
                <w:szCs w:val="24"/>
              </w:rPr>
              <w:t xml:space="preserve">4:3 </w:t>
            </w:r>
            <w:r>
              <w:rPr>
                <w:rFonts w:hint="eastAsia" w:ascii="仿宋_GB2312" w:hAnsi="Times New Roman" w:eastAsia="仿宋_GB2312" w:cs="仿宋_GB2312"/>
                <w:kern w:val="0"/>
                <w:sz w:val="24"/>
                <w:szCs w:val="24"/>
              </w:rPr>
              <w:t>拍摄时，请设定为</w:t>
            </w:r>
            <w:r>
              <w:rPr>
                <w:rFonts w:ascii="仿宋_GB2312" w:hAnsi="Times New Roman" w:eastAsia="仿宋_GB2312" w:cs="仿宋_GB2312"/>
                <w:kern w:val="0"/>
                <w:sz w:val="24"/>
                <w:szCs w:val="24"/>
              </w:rPr>
              <w:t>720</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576</w:t>
            </w:r>
            <w:r>
              <w:rPr>
                <w:rFonts w:hint="eastAsia" w:ascii="仿宋_GB2312" w:hAnsi="Times New Roman" w:eastAsia="仿宋_GB2312" w:cs="仿宋_GB2312"/>
                <w:kern w:val="0"/>
                <w:sz w:val="24"/>
                <w:szCs w:val="24"/>
              </w:rPr>
              <w:t>前期采用高清</w:t>
            </w:r>
            <w:r>
              <w:rPr>
                <w:rFonts w:ascii="仿宋_GB2312" w:hAnsi="Times New Roman" w:eastAsia="仿宋_GB2312" w:cs="仿宋_GB2312"/>
                <w:kern w:val="0"/>
                <w:sz w:val="24"/>
                <w:szCs w:val="24"/>
              </w:rPr>
              <w:t xml:space="preserve">16:9 </w:t>
            </w:r>
            <w:r>
              <w:rPr>
                <w:rFonts w:hint="eastAsia" w:ascii="仿宋_GB2312" w:hAnsi="Times New Roman" w:eastAsia="仿宋_GB2312" w:cs="仿宋_GB2312"/>
                <w:kern w:val="0"/>
                <w:sz w:val="24"/>
                <w:szCs w:val="24"/>
              </w:rPr>
              <w:t>拍摄时，请设定为</w:t>
            </w:r>
            <w:r>
              <w:rPr>
                <w:rFonts w:ascii="仿宋_GB2312" w:hAnsi="Times New Roman" w:eastAsia="仿宋_GB2312" w:cs="仿宋_GB2312"/>
                <w:kern w:val="0"/>
                <w:sz w:val="24"/>
                <w:szCs w:val="24"/>
              </w:rPr>
              <w:t>1280</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 xml:space="preserve">720 </w:t>
            </w:r>
            <w:r>
              <w:rPr>
                <w:rFonts w:hint="eastAsia" w:ascii="仿宋_GB2312" w:hAnsi="Times New Roman" w:eastAsia="仿宋_GB2312" w:cs="仿宋_GB2312"/>
                <w:kern w:val="0"/>
                <w:sz w:val="24"/>
                <w:szCs w:val="24"/>
              </w:rPr>
              <w:t>或</w:t>
            </w:r>
            <w:r>
              <w:rPr>
                <w:rFonts w:ascii="仿宋_GB2312" w:hAnsi="Times New Roman" w:eastAsia="仿宋_GB2312" w:cs="仿宋_GB2312"/>
                <w:kern w:val="0"/>
                <w:sz w:val="24"/>
                <w:szCs w:val="24"/>
              </w:rPr>
              <w:t>1920</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1080</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4</w:t>
            </w:r>
            <w:r>
              <w:rPr>
                <w:rFonts w:hint="eastAsia" w:ascii="仿宋_GB2312" w:hAnsi="Times New Roman" w:eastAsia="仿宋_GB2312" w:cs="仿宋_GB2312"/>
                <w:kern w:val="0"/>
                <w:sz w:val="24"/>
                <w:szCs w:val="24"/>
              </w:rPr>
              <w:t>）视频画幅宽高比分辨率设定为</w:t>
            </w:r>
            <w:r>
              <w:rPr>
                <w:rFonts w:ascii="仿宋_GB2312" w:hAnsi="Times New Roman" w:eastAsia="仿宋_GB2312" w:cs="仿宋_GB2312"/>
                <w:kern w:val="0"/>
                <w:sz w:val="24"/>
                <w:szCs w:val="24"/>
              </w:rPr>
              <w:t>720</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 xml:space="preserve">576 </w:t>
            </w:r>
            <w:r>
              <w:rPr>
                <w:rFonts w:hint="eastAsia" w:ascii="仿宋_GB2312" w:hAnsi="Times New Roman" w:eastAsia="仿宋_GB2312" w:cs="仿宋_GB2312"/>
                <w:kern w:val="0"/>
                <w:sz w:val="24"/>
                <w:szCs w:val="24"/>
              </w:rPr>
              <w:t>的，请选定</w:t>
            </w:r>
            <w:r>
              <w:rPr>
                <w:rFonts w:ascii="仿宋_GB2312" w:hAnsi="Times New Roman" w:eastAsia="仿宋_GB2312" w:cs="仿宋_GB2312"/>
                <w:kern w:val="0"/>
                <w:sz w:val="24"/>
                <w:szCs w:val="24"/>
              </w:rPr>
              <w:t>4:3</w:t>
            </w:r>
            <w:r>
              <w:rPr>
                <w:rFonts w:hint="eastAsia" w:ascii="仿宋_GB2312" w:hAnsi="Times New Roman" w:eastAsia="仿宋_GB2312" w:cs="仿宋_GB2312"/>
                <w:kern w:val="0"/>
                <w:sz w:val="24"/>
                <w:szCs w:val="24"/>
              </w:rPr>
              <w:t>分辨率设定为</w:t>
            </w:r>
            <w:r>
              <w:rPr>
                <w:rFonts w:ascii="仿宋_GB2312" w:hAnsi="Times New Roman" w:eastAsia="仿宋_GB2312" w:cs="仿宋_GB2312"/>
                <w:kern w:val="0"/>
                <w:sz w:val="24"/>
                <w:szCs w:val="24"/>
              </w:rPr>
              <w:t>1280</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 xml:space="preserve">720 </w:t>
            </w:r>
            <w:r>
              <w:rPr>
                <w:rFonts w:hint="eastAsia" w:ascii="仿宋_GB2312" w:hAnsi="Times New Roman" w:eastAsia="仿宋_GB2312" w:cs="仿宋_GB2312"/>
                <w:kern w:val="0"/>
                <w:sz w:val="24"/>
                <w:szCs w:val="24"/>
              </w:rPr>
              <w:t>或</w:t>
            </w:r>
            <w:r>
              <w:rPr>
                <w:rFonts w:ascii="仿宋_GB2312" w:hAnsi="Times New Roman" w:eastAsia="仿宋_GB2312" w:cs="仿宋_GB2312"/>
                <w:kern w:val="0"/>
                <w:sz w:val="24"/>
                <w:szCs w:val="24"/>
              </w:rPr>
              <w:t>1920</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 xml:space="preserve">1080 </w:t>
            </w:r>
            <w:r>
              <w:rPr>
                <w:rFonts w:hint="eastAsia" w:ascii="仿宋_GB2312" w:hAnsi="Times New Roman" w:eastAsia="仿宋_GB2312" w:cs="仿宋_GB2312"/>
                <w:kern w:val="0"/>
                <w:sz w:val="24"/>
                <w:szCs w:val="24"/>
              </w:rPr>
              <w:t>的，请选定</w:t>
            </w:r>
            <w:r>
              <w:rPr>
                <w:rFonts w:ascii="仿宋_GB2312" w:hAnsi="Times New Roman" w:eastAsia="仿宋_GB2312" w:cs="仿宋_GB2312"/>
                <w:kern w:val="0"/>
                <w:sz w:val="24"/>
                <w:szCs w:val="24"/>
              </w:rPr>
              <w:t>16:9</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5</w:t>
            </w:r>
            <w:r>
              <w:rPr>
                <w:rFonts w:hint="eastAsia" w:ascii="仿宋_GB2312" w:hAnsi="Times New Roman" w:eastAsia="仿宋_GB2312" w:cs="仿宋_GB2312"/>
                <w:kern w:val="0"/>
                <w:sz w:val="24"/>
                <w:szCs w:val="24"/>
              </w:rPr>
              <w:t>）视频帧率为</w:t>
            </w:r>
            <w:r>
              <w:rPr>
                <w:rFonts w:ascii="仿宋_GB2312" w:hAnsi="Times New Roman" w:eastAsia="仿宋_GB2312" w:cs="仿宋_GB2312"/>
                <w:kern w:val="0"/>
                <w:sz w:val="24"/>
                <w:szCs w:val="24"/>
              </w:rPr>
              <w:t xml:space="preserve">25 </w:t>
            </w:r>
            <w:r>
              <w:rPr>
                <w:rFonts w:hint="eastAsia" w:ascii="仿宋_GB2312" w:hAnsi="Times New Roman" w:eastAsia="仿宋_GB2312" w:cs="仿宋_GB2312"/>
                <w:kern w:val="0"/>
                <w:sz w:val="24"/>
                <w:szCs w:val="24"/>
              </w:rPr>
              <w:t>帧</w:t>
            </w:r>
            <w:r>
              <w:rPr>
                <w:rFonts w:ascii="仿宋_GB2312" w:hAnsi="Times New Roman" w:eastAsia="仿宋_GB2312" w:cs="仿宋_GB2312"/>
                <w:kern w:val="0"/>
                <w:sz w:val="24"/>
                <w:szCs w:val="24"/>
              </w:rPr>
              <w:t>/</w:t>
            </w:r>
            <w:r>
              <w:rPr>
                <w:rFonts w:hint="eastAsia" w:ascii="仿宋_GB2312" w:hAnsi="Times New Roman" w:eastAsia="仿宋_GB2312" w:cs="仿宋_GB2312"/>
                <w:kern w:val="0"/>
                <w:sz w:val="24"/>
                <w:szCs w:val="24"/>
              </w:rPr>
              <w:t>秒（</w:t>
            </w:r>
            <w:r>
              <w:rPr>
                <w:rFonts w:ascii="仿宋_GB2312" w:hAnsi="Times New Roman" w:eastAsia="仿宋_GB2312" w:cs="仿宋_GB2312"/>
                <w:kern w:val="0"/>
                <w:sz w:val="24"/>
                <w:szCs w:val="24"/>
              </w:rPr>
              <w:t>6</w:t>
            </w:r>
            <w:r>
              <w:rPr>
                <w:rFonts w:hint="eastAsia" w:ascii="仿宋_GB2312" w:hAnsi="Times New Roman" w:eastAsia="仿宋_GB2312" w:cs="仿宋_GB2312"/>
                <w:kern w:val="0"/>
                <w:sz w:val="24"/>
                <w:szCs w:val="24"/>
              </w:rPr>
              <w:t>）扫描方式采用逐行扫描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1"/>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szCs w:val="21"/>
              </w:rPr>
            </w:pPr>
          </w:p>
        </w:tc>
        <w:tc>
          <w:tcPr>
            <w:tcW w:w="6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声道：中文内容音频信号记录于第</w:t>
            </w:r>
            <w:r>
              <w:rPr>
                <w:rFonts w:ascii="仿宋_GB2312" w:hAnsi="Times New Roman" w:eastAsia="仿宋_GB2312" w:cs="仿宋_GB2312"/>
                <w:kern w:val="0"/>
                <w:sz w:val="24"/>
                <w:szCs w:val="24"/>
              </w:rPr>
              <w:t xml:space="preserve">1 </w:t>
            </w:r>
            <w:r>
              <w:rPr>
                <w:rFonts w:hint="eastAsia" w:ascii="仿宋_GB2312" w:hAnsi="Times New Roman" w:eastAsia="仿宋_GB2312" w:cs="仿宋_GB2312"/>
                <w:kern w:val="0"/>
                <w:sz w:val="24"/>
                <w:szCs w:val="24"/>
              </w:rPr>
              <w:t>声道，音乐、音效、同期声记录于第</w:t>
            </w:r>
            <w:r>
              <w:rPr>
                <w:rFonts w:ascii="仿宋_GB2312" w:hAnsi="Times New Roman" w:eastAsia="仿宋_GB2312" w:cs="仿宋_GB2312"/>
                <w:kern w:val="0"/>
                <w:sz w:val="24"/>
                <w:szCs w:val="24"/>
              </w:rPr>
              <w:t xml:space="preserve">2 </w:t>
            </w:r>
            <w:r>
              <w:rPr>
                <w:rFonts w:hint="eastAsia" w:ascii="仿宋_GB2312" w:hAnsi="Times New Roman" w:eastAsia="仿宋_GB2312" w:cs="仿宋_GB2312"/>
                <w:kern w:val="0"/>
                <w:sz w:val="24"/>
                <w:szCs w:val="24"/>
              </w:rPr>
              <w:t>声道，若有其他文字解说记录于第</w:t>
            </w:r>
            <w:r>
              <w:rPr>
                <w:rFonts w:ascii="仿宋_GB2312" w:hAnsi="Times New Roman" w:eastAsia="仿宋_GB2312" w:cs="仿宋_GB2312"/>
                <w:kern w:val="0"/>
                <w:sz w:val="24"/>
                <w:szCs w:val="24"/>
              </w:rPr>
              <w:t xml:space="preserve">3 </w:t>
            </w:r>
            <w:r>
              <w:rPr>
                <w:rFonts w:hint="eastAsia" w:ascii="仿宋_GB2312" w:hAnsi="Times New Roman" w:eastAsia="仿宋_GB2312" w:cs="仿宋_GB2312"/>
                <w:kern w:val="0"/>
                <w:sz w:val="24"/>
                <w:szCs w:val="24"/>
              </w:rPr>
              <w:t>声道</w:t>
            </w:r>
            <w:r>
              <w:rPr>
                <w:rFonts w:ascii="仿宋_GB2312" w:hAnsi="Times New Roman" w:eastAsia="仿宋_GB2312" w:cs="仿宋_GB2312"/>
                <w:kern w:val="0"/>
                <w:sz w:val="24"/>
                <w:szCs w:val="24"/>
              </w:rPr>
              <w:t>(</w:t>
            </w:r>
            <w:r>
              <w:rPr>
                <w:rFonts w:hint="eastAsia" w:ascii="仿宋_GB2312" w:hAnsi="Times New Roman" w:eastAsia="仿宋_GB2312" w:cs="仿宋_GB2312"/>
                <w:kern w:val="0"/>
                <w:sz w:val="24"/>
                <w:szCs w:val="24"/>
              </w:rPr>
              <w:t>如录音设备无第</w:t>
            </w:r>
            <w:r>
              <w:rPr>
                <w:rFonts w:ascii="仿宋_GB2312" w:hAnsi="Times New Roman" w:eastAsia="仿宋_GB2312" w:cs="仿宋_GB2312"/>
                <w:kern w:val="0"/>
                <w:sz w:val="24"/>
                <w:szCs w:val="24"/>
              </w:rPr>
              <w:t xml:space="preserve">3 </w:t>
            </w:r>
            <w:r>
              <w:rPr>
                <w:rFonts w:hint="eastAsia" w:ascii="仿宋_GB2312" w:hAnsi="Times New Roman" w:eastAsia="仿宋_GB2312" w:cs="仿宋_GB2312"/>
                <w:kern w:val="0"/>
                <w:sz w:val="24"/>
                <w:szCs w:val="24"/>
              </w:rPr>
              <w:t>声道</w:t>
            </w:r>
            <w:r>
              <w:rPr>
                <w:rFonts w:ascii="仿宋_GB2312" w:hAnsi="Times New Roman" w:eastAsia="仿宋_GB2312" w:cs="仿宋_GB2312"/>
                <w:kern w:val="0"/>
                <w:sz w:val="24"/>
                <w:szCs w:val="24"/>
              </w:rPr>
              <w:t>,</w:t>
            </w:r>
            <w:r>
              <w:rPr>
                <w:rFonts w:hint="eastAsia" w:ascii="仿宋_GB2312" w:hAnsi="Times New Roman" w:eastAsia="仿宋_GB2312" w:cs="仿宋_GB2312"/>
                <w:kern w:val="0"/>
                <w:sz w:val="24"/>
                <w:szCs w:val="24"/>
              </w:rPr>
              <w:t>则录于第</w:t>
            </w:r>
            <w:r>
              <w:rPr>
                <w:rFonts w:ascii="仿宋_GB2312" w:hAnsi="Times New Roman" w:eastAsia="仿宋_GB2312" w:cs="仿宋_GB2312"/>
                <w:kern w:val="0"/>
                <w:sz w:val="24"/>
                <w:szCs w:val="24"/>
              </w:rPr>
              <w:t xml:space="preserve">2 </w:t>
            </w:r>
            <w:r>
              <w:rPr>
                <w:rFonts w:hint="eastAsia" w:ascii="仿宋_GB2312" w:hAnsi="Times New Roman" w:eastAsia="仿宋_GB2312" w:cs="仿宋_GB2312"/>
                <w:kern w:val="0"/>
                <w:sz w:val="24"/>
                <w:szCs w:val="24"/>
              </w:rPr>
              <w:t>声道</w:t>
            </w:r>
            <w:r>
              <w:rPr>
                <w:rFonts w:ascii="仿宋_GB2312" w:hAnsi="Times New Roman" w:eastAsia="仿宋_GB2312" w:cs="仿宋_GB2312"/>
                <w:kern w:val="0"/>
                <w:sz w:val="24"/>
                <w:szCs w:val="24"/>
              </w:rPr>
              <w:t>)</w:t>
            </w:r>
            <w:r>
              <w:rPr>
                <w:rFonts w:hint="eastAsia" w:ascii="仿宋_GB2312" w:hAnsi="Times New Roman" w:eastAsia="仿宋_GB2312" w:cs="仿宋_GB2312"/>
                <w:kern w:val="0"/>
                <w:sz w:val="24"/>
                <w:szCs w:val="24"/>
              </w:rPr>
              <w:t>。电平指标：</w:t>
            </w:r>
            <w:r>
              <w:rPr>
                <w:rFonts w:ascii="仿宋_GB2312" w:hAnsi="Times New Roman" w:eastAsia="仿宋_GB2312" w:cs="仿宋_GB2312"/>
                <w:kern w:val="0"/>
                <w:sz w:val="24"/>
                <w:szCs w:val="24"/>
              </w:rPr>
              <w:t xml:space="preserve">-2db </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 xml:space="preserve"> -8db </w:t>
            </w:r>
            <w:r>
              <w:rPr>
                <w:rFonts w:hint="eastAsia" w:ascii="仿宋_GB2312" w:hAnsi="Times New Roman" w:eastAsia="仿宋_GB2312" w:cs="仿宋_GB2312"/>
                <w:kern w:val="0"/>
                <w:sz w:val="24"/>
                <w:szCs w:val="24"/>
              </w:rPr>
              <w:t>声音应无明显失真、放音过冲、过弱。音频信噪比不低于</w:t>
            </w:r>
            <w:r>
              <w:rPr>
                <w:rFonts w:ascii="仿宋_GB2312" w:hAnsi="Times New Roman" w:eastAsia="仿宋_GB2312" w:cs="仿宋_GB2312"/>
                <w:kern w:val="0"/>
                <w:sz w:val="24"/>
                <w:szCs w:val="24"/>
              </w:rPr>
              <w:t>48db</w:t>
            </w:r>
            <w:r>
              <w:rPr>
                <w:rFonts w:hint="eastAsia" w:ascii="仿宋_GB2312" w:hAnsi="Times New Roman" w:eastAsia="仿宋_GB2312" w:cs="仿宋_GB2312"/>
                <w:kern w:val="0"/>
                <w:sz w:val="24"/>
                <w:szCs w:val="24"/>
              </w:rPr>
              <w:t>。声音和画面要求同步，无交流声或其他杂音等缺陷。伴音清晰、饱满、圆润，无失真、噪声杂音干扰、音量忽大忽小现象。解说声与现场声无明显比例失调，解说声与背景音乐无明显比例失调。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28" w:type="dxa"/>
            <w:vMerge w:val="continue"/>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仿宋_GB2312" w:hAnsi="仿宋" w:eastAsia="仿宋_GB2312"/>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520" w:lineRule="exact"/>
              <w:outlineLvl w:val="0"/>
              <w:rPr>
                <w:rFonts w:ascii="仿宋_GB2312" w:hAnsi="仿宋" w:eastAsia="仿宋_GB2312"/>
              </w:rPr>
            </w:pPr>
            <w:r>
              <w:rPr>
                <w:rFonts w:ascii="仿宋_GB2312" w:hAnsi="仿宋" w:eastAsia="仿宋_GB2312"/>
              </w:rPr>
              <w:t>次要指标</w:t>
            </w:r>
          </w:p>
        </w:tc>
        <w:tc>
          <w:tcPr>
            <w:tcW w:w="69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音频压缩格式及技术参数（</w:t>
            </w:r>
            <w:r>
              <w:rPr>
                <w:rFonts w:ascii="仿宋_GB2312" w:hAnsi="Times New Roman" w:eastAsia="仿宋_GB2312" w:cs="仿宋_GB2312"/>
                <w:kern w:val="0"/>
                <w:sz w:val="24"/>
                <w:szCs w:val="24"/>
              </w:rPr>
              <w:t>1</w:t>
            </w:r>
            <w:r>
              <w:rPr>
                <w:rFonts w:hint="eastAsia" w:ascii="仿宋_GB2312" w:hAnsi="Times New Roman" w:eastAsia="仿宋_GB2312" w:cs="仿宋_GB2312"/>
                <w:kern w:val="0"/>
                <w:sz w:val="24"/>
                <w:szCs w:val="24"/>
              </w:rPr>
              <w:t>）音频压缩采用</w:t>
            </w:r>
            <w:r>
              <w:rPr>
                <w:rFonts w:ascii="仿宋_GB2312" w:hAnsi="Times New Roman" w:eastAsia="仿宋_GB2312" w:cs="仿宋_GB2312"/>
                <w:kern w:val="0"/>
                <w:sz w:val="24"/>
                <w:szCs w:val="24"/>
              </w:rPr>
              <w:t>AAC(MPEG4 Part3)</w:t>
            </w:r>
            <w:r>
              <w:rPr>
                <w:rFonts w:hint="eastAsia" w:ascii="仿宋_GB2312" w:hAnsi="Times New Roman" w:eastAsia="仿宋_GB2312" w:cs="仿宋_GB2312"/>
                <w:kern w:val="0"/>
                <w:sz w:val="24"/>
                <w:szCs w:val="24"/>
              </w:rPr>
              <w:t>格式（</w:t>
            </w:r>
            <w:r>
              <w:rPr>
                <w:rFonts w:ascii="仿宋_GB2312" w:hAnsi="Times New Roman" w:eastAsia="仿宋_GB2312" w:cs="仿宋_GB2312"/>
                <w:kern w:val="0"/>
                <w:sz w:val="24"/>
                <w:szCs w:val="24"/>
              </w:rPr>
              <w:t>2</w:t>
            </w:r>
            <w:r>
              <w:rPr>
                <w:rFonts w:hint="eastAsia" w:ascii="仿宋_GB2312" w:hAnsi="Times New Roman" w:eastAsia="仿宋_GB2312" w:cs="仿宋_GB2312"/>
                <w:kern w:val="0"/>
                <w:sz w:val="24"/>
                <w:szCs w:val="24"/>
              </w:rPr>
              <w:t>）采样率</w:t>
            </w:r>
            <w:r>
              <w:rPr>
                <w:rFonts w:ascii="仿宋_GB2312" w:hAnsi="Times New Roman" w:eastAsia="仿宋_GB2312" w:cs="仿宋_GB2312"/>
                <w:kern w:val="0"/>
                <w:sz w:val="24"/>
                <w:szCs w:val="24"/>
              </w:rPr>
              <w:t>48KHz</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3</w:t>
            </w:r>
            <w:r>
              <w:rPr>
                <w:rFonts w:hint="eastAsia" w:ascii="仿宋_GB2312" w:hAnsi="Times New Roman" w:eastAsia="仿宋_GB2312" w:cs="仿宋_GB2312"/>
                <w:kern w:val="0"/>
                <w:sz w:val="24"/>
                <w:szCs w:val="24"/>
              </w:rPr>
              <w:t>）音频码流率</w:t>
            </w:r>
            <w:r>
              <w:rPr>
                <w:rFonts w:ascii="仿宋_GB2312" w:hAnsi="Times New Roman" w:eastAsia="仿宋_GB2312" w:cs="仿宋_GB2312"/>
                <w:kern w:val="0"/>
                <w:sz w:val="24"/>
                <w:szCs w:val="24"/>
              </w:rPr>
              <w:t>128Kbps (</w:t>
            </w:r>
            <w:r>
              <w:rPr>
                <w:rFonts w:hint="eastAsia" w:ascii="仿宋_GB2312" w:hAnsi="Times New Roman" w:eastAsia="仿宋_GB2312" w:cs="仿宋_GB2312"/>
                <w:kern w:val="0"/>
                <w:sz w:val="24"/>
                <w:szCs w:val="24"/>
              </w:rPr>
              <w:t>恒定</w:t>
            </w:r>
            <w:r>
              <w:rPr>
                <w:rFonts w:ascii="仿宋_GB2312" w:hAnsi="Times New Roman" w:eastAsia="仿宋_GB2312" w:cs="仿宋_GB2312"/>
                <w:kern w:val="0"/>
                <w:sz w:val="24"/>
                <w:szCs w:val="24"/>
              </w:rPr>
              <w:t>)</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4</w:t>
            </w:r>
            <w:r>
              <w:rPr>
                <w:rFonts w:hint="eastAsia" w:ascii="仿宋_GB2312" w:hAnsi="Times New Roman" w:eastAsia="仿宋_GB2312" w:cs="仿宋_GB2312"/>
                <w:kern w:val="0"/>
                <w:sz w:val="24"/>
                <w:szCs w:val="24"/>
              </w:rPr>
              <w:t>）必须是双声道，必须做混音处理。采用</w:t>
            </w:r>
            <w:r>
              <w:rPr>
                <w:rFonts w:ascii="仿宋_GB2312" w:hAnsi="Times New Roman" w:eastAsia="仿宋_GB2312" w:cs="仿宋_GB2312"/>
                <w:kern w:val="0"/>
                <w:sz w:val="24"/>
                <w:szCs w:val="24"/>
              </w:rPr>
              <w:t xml:space="preserve">MP4 </w:t>
            </w:r>
            <w:r>
              <w:rPr>
                <w:rFonts w:hint="eastAsia" w:ascii="仿宋_GB2312" w:hAnsi="Times New Roman" w:eastAsia="仿宋_GB2312" w:cs="仿宋_GB2312"/>
                <w:kern w:val="0"/>
                <w:sz w:val="24"/>
                <w:szCs w:val="24"/>
              </w:rPr>
              <w:t>封装演示文稿（</w:t>
            </w:r>
            <w:r>
              <w:rPr>
                <w:rFonts w:ascii="仿宋_GB2312" w:hAnsi="Times New Roman" w:eastAsia="仿宋_GB2312" w:cs="仿宋_GB2312"/>
                <w:kern w:val="0"/>
                <w:sz w:val="24"/>
                <w:szCs w:val="24"/>
              </w:rPr>
              <w:t>PPT</w:t>
            </w:r>
            <w:r>
              <w:rPr>
                <w:rFonts w:hint="eastAsia" w:ascii="仿宋_GB2312" w:hAnsi="Times New Roman" w:eastAsia="仿宋_GB2312" w:cs="仿宋_GB2312"/>
                <w:kern w:val="0"/>
                <w:sz w:val="24"/>
                <w:szCs w:val="24"/>
              </w:rPr>
              <w:t>）制作规范（</w:t>
            </w:r>
            <w:r>
              <w:rPr>
                <w:rFonts w:ascii="仿宋_GB2312" w:hAnsi="Times New Roman" w:eastAsia="仿宋_GB2312" w:cs="仿宋_GB2312"/>
                <w:kern w:val="0"/>
                <w:sz w:val="24"/>
                <w:szCs w:val="24"/>
              </w:rPr>
              <w:t>1</w:t>
            </w:r>
            <w:r>
              <w:rPr>
                <w:rFonts w:hint="eastAsia" w:ascii="仿宋_GB2312" w:hAnsi="Times New Roman" w:eastAsia="仿宋_GB2312" w:cs="仿宋_GB2312"/>
                <w:kern w:val="0"/>
                <w:sz w:val="24"/>
                <w:szCs w:val="24"/>
              </w:rPr>
              <w:t>）演示文稿（</w:t>
            </w:r>
            <w:r>
              <w:rPr>
                <w:rFonts w:ascii="仿宋_GB2312" w:hAnsi="Times New Roman" w:eastAsia="仿宋_GB2312" w:cs="仿宋_GB2312"/>
                <w:kern w:val="0"/>
                <w:sz w:val="24"/>
                <w:szCs w:val="24"/>
              </w:rPr>
              <w:t>PPT</w:t>
            </w:r>
            <w:r>
              <w:rPr>
                <w:rFonts w:hint="eastAsia" w:ascii="仿宋_GB2312" w:hAnsi="Times New Roman" w:eastAsia="仿宋_GB2312" w:cs="仿宋_GB2312"/>
                <w:kern w:val="0"/>
                <w:sz w:val="24"/>
                <w:szCs w:val="24"/>
              </w:rPr>
              <w:t>）要求集文字、图形、图像、声音</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以及视频等多种媒体元素于一体，一般不使用纯文字的演示文稿（</w:t>
            </w:r>
            <w:r>
              <w:rPr>
                <w:rFonts w:ascii="仿宋_GB2312" w:hAnsi="Times New Roman" w:eastAsia="仿宋_GB2312" w:cs="仿宋_GB2312"/>
                <w:kern w:val="0"/>
                <w:sz w:val="24"/>
                <w:szCs w:val="24"/>
              </w:rPr>
              <w:t>PPT</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2</w:t>
            </w:r>
            <w:r>
              <w:rPr>
                <w:rFonts w:hint="eastAsia" w:ascii="仿宋_GB2312" w:hAnsi="Times New Roman" w:eastAsia="仿宋_GB2312" w:cs="仿宋_GB2312"/>
                <w:kern w:val="0"/>
                <w:sz w:val="24"/>
                <w:szCs w:val="24"/>
              </w:rPr>
              <w:t>）页面设置要求符合高清格式比例，幻灯片大小为</w:t>
            </w:r>
          </w:p>
          <w:p>
            <w:pPr>
              <w:autoSpaceDE w:val="0"/>
              <w:autoSpaceDN w:val="0"/>
              <w:adjustRightInd w:val="0"/>
              <w:jc w:val="left"/>
              <w:rPr>
                <w:rFonts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“全屏显示</w:t>
            </w:r>
            <w:r>
              <w:rPr>
                <w:rFonts w:ascii="仿宋_GB2312" w:hAnsi="Times New Roman" w:eastAsia="仿宋_GB2312" w:cs="仿宋_GB2312"/>
                <w:kern w:val="0"/>
                <w:sz w:val="24"/>
                <w:szCs w:val="24"/>
              </w:rPr>
              <w:t>16</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9</w:t>
            </w:r>
            <w:r>
              <w:rPr>
                <w:rFonts w:hint="eastAsia" w:ascii="仿宋_GB2312" w:hAnsi="Times New Roman" w:eastAsia="仿宋_GB2312" w:cs="仿宋_GB2312"/>
                <w:kern w:val="0"/>
                <w:sz w:val="24"/>
                <w:szCs w:val="24"/>
              </w:rPr>
              <w:t>”。（</w:t>
            </w:r>
            <w:r>
              <w:rPr>
                <w:rFonts w:ascii="仿宋_GB2312" w:hAnsi="Times New Roman" w:eastAsia="仿宋_GB2312" w:cs="仿宋_GB2312"/>
                <w:kern w:val="0"/>
                <w:sz w:val="24"/>
                <w:szCs w:val="24"/>
              </w:rPr>
              <w:t>3</w:t>
            </w:r>
            <w:r>
              <w:rPr>
                <w:rFonts w:hint="eastAsia" w:ascii="仿宋_GB2312" w:hAnsi="Times New Roman" w:eastAsia="仿宋_GB2312" w:cs="仿宋_GB2312"/>
                <w:kern w:val="0"/>
                <w:sz w:val="24"/>
                <w:szCs w:val="24"/>
              </w:rPr>
              <w:t>）整体效果应风格统一、色彩协调、美观大方。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1548" w:type="dxa"/>
            <w:gridSpan w:val="2"/>
            <w:tcBorders>
              <w:top w:val="single" w:color="auto" w:sz="4" w:space="0"/>
              <w:left w:val="single" w:color="auto" w:sz="4" w:space="0"/>
              <w:bottom w:val="single" w:color="auto" w:sz="4" w:space="0"/>
              <w:right w:val="single" w:color="auto" w:sz="4" w:space="0"/>
            </w:tcBorders>
          </w:tcPr>
          <w:p>
            <w:pPr>
              <w:pStyle w:val="2"/>
              <w:snapToGrid w:val="0"/>
              <w:spacing w:beforeLines="0" w:afterLines="0" w:line="240" w:lineRule="auto"/>
              <w:outlineLvl w:val="0"/>
              <w:rPr>
                <w:rFonts w:ascii="仿宋_GB2312" w:hAnsi="仿宋" w:eastAsia="仿宋_GB2312"/>
              </w:rPr>
            </w:pPr>
            <w:r>
              <w:rPr>
                <w:rFonts w:ascii="仿宋_GB2312" w:hAnsi="仿宋" w:eastAsia="仿宋_GB2312"/>
              </w:rPr>
              <w:t>质量标准</w:t>
            </w:r>
          </w:p>
        </w:tc>
        <w:tc>
          <w:tcPr>
            <w:tcW w:w="6980"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ascii="仿宋_GB2312" w:hAnsi="仿宋" w:eastAsia="仿宋_GB2312"/>
              </w:rPr>
              <w:t>国家标准、行业标准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548" w:type="dxa"/>
            <w:gridSpan w:val="2"/>
            <w:tcBorders>
              <w:top w:val="single" w:color="auto" w:sz="4" w:space="0"/>
              <w:left w:val="single" w:color="auto" w:sz="4" w:space="0"/>
              <w:bottom w:val="single" w:color="auto" w:sz="4" w:space="0"/>
              <w:right w:val="single" w:color="auto" w:sz="4" w:space="0"/>
            </w:tcBorders>
          </w:tcPr>
          <w:p>
            <w:pPr>
              <w:pStyle w:val="2"/>
              <w:snapToGrid w:val="0"/>
              <w:spacing w:beforeLines="0" w:afterLines="0" w:line="240" w:lineRule="auto"/>
              <w:outlineLvl w:val="0"/>
              <w:rPr>
                <w:rFonts w:ascii="仿宋_GB2312" w:hAnsi="仿宋" w:eastAsia="仿宋_GB2312"/>
              </w:rPr>
            </w:pPr>
            <w:r>
              <w:rPr>
                <w:rFonts w:ascii="仿宋_GB2312" w:hAnsi="仿宋" w:eastAsia="仿宋_GB2312"/>
              </w:rPr>
              <w:t>验收条件及标准</w:t>
            </w:r>
          </w:p>
        </w:tc>
        <w:tc>
          <w:tcPr>
            <w:tcW w:w="6980"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rPr>
              <w:t>视频按照计划运行，并达到采购人实际使用验收要求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1548" w:type="dxa"/>
            <w:gridSpan w:val="2"/>
            <w:tcBorders>
              <w:top w:val="single" w:color="auto" w:sz="4" w:space="0"/>
              <w:left w:val="single" w:color="auto" w:sz="4" w:space="0"/>
              <w:bottom w:val="single" w:color="auto" w:sz="4" w:space="0"/>
              <w:right w:val="single" w:color="auto" w:sz="4" w:space="0"/>
            </w:tcBorders>
          </w:tcPr>
          <w:p>
            <w:pPr>
              <w:pStyle w:val="2"/>
              <w:snapToGrid w:val="0"/>
              <w:spacing w:beforeLines="0" w:afterLines="0" w:line="240" w:lineRule="auto"/>
              <w:outlineLvl w:val="0"/>
              <w:rPr>
                <w:rFonts w:ascii="仿宋_GB2312" w:hAnsi="仿宋" w:eastAsia="仿宋_GB2312"/>
              </w:rPr>
            </w:pPr>
            <w:r>
              <w:rPr>
                <w:rFonts w:ascii="仿宋_GB2312" w:hAnsi="仿宋" w:eastAsia="仿宋_GB2312"/>
              </w:rPr>
              <w:t>验收方法及方案</w:t>
            </w:r>
          </w:p>
        </w:tc>
        <w:tc>
          <w:tcPr>
            <w:tcW w:w="6980"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rPr>
              <w:t>采购人组织相关人员进行验收</w:t>
            </w:r>
          </w:p>
        </w:tc>
      </w:tr>
    </w:tbl>
    <w:p>
      <w:pPr>
        <w:spacing w:line="520" w:lineRule="exact"/>
        <w:jc w:val="left"/>
        <w:rPr>
          <w:rFonts w:ascii="仿宋_GB2312" w:hAnsi="仿宋" w:eastAsia="仿宋_GB2312"/>
          <w:sz w:val="24"/>
        </w:rPr>
      </w:pPr>
      <w:r>
        <w:rPr>
          <w:rFonts w:ascii="仿宋_GB2312" w:hAnsi="仿宋" w:eastAsia="仿宋_GB2312"/>
          <w:sz w:val="24"/>
        </w:rPr>
        <w:t>三、商务要求表</w:t>
      </w:r>
    </w:p>
    <w:tbl>
      <w:tblPr>
        <w:tblStyle w:val="7"/>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6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rPr>
              <w:t>质保期</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lang w:val="en-US" w:eastAsia="zh-CN"/>
              </w:rPr>
              <w:t>视频制作完成5年内。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rPr>
              <w:t>售后技术服务要求</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300" w:lineRule="exact"/>
              <w:outlineLvl w:val="0"/>
              <w:rPr>
                <w:rFonts w:ascii="仿宋_GB2312" w:hAnsi="仿宋" w:eastAsia="仿宋_GB2312"/>
              </w:rPr>
            </w:pPr>
            <w:r>
              <w:rPr>
                <w:rFonts w:hint="eastAsia" w:ascii="仿宋_GB2312" w:hAnsi="仿宋" w:eastAsia="仿宋_GB2312"/>
              </w:rPr>
              <w:t>后期视频使用阶段，中标人须随时向采购人提供免费的技术支持。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rPr>
              <w:t>交货时间及地点</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（中标后30天内）</w:t>
            </w:r>
          </w:p>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color w:val="000000" w:themeColor="text1"/>
                <w14:textFill>
                  <w14:solidFill>
                    <w14:schemeClr w14:val="tx1"/>
                  </w14:solidFill>
                </w14:textFill>
              </w:rPr>
              <w:t>交货地点：</w:t>
            </w:r>
            <w:r>
              <w:rPr>
                <w:rFonts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olor w:val="000000" w:themeColor="text1"/>
                <w:u w:val="single"/>
                <w14:textFill>
                  <w14:solidFill>
                    <w14:schemeClr w14:val="tx1"/>
                  </w14:solidFill>
                </w14:textFill>
              </w:rPr>
              <w:t>上海财经大学浙江学院</w:t>
            </w:r>
            <w:r>
              <w:rPr>
                <w:rFonts w:ascii="仿宋_GB2312" w:hAnsi="仿宋" w:eastAsia="仿宋_GB2312"/>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rPr>
              <w:t>付款条件</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hint="eastAsia" w:ascii="仿宋" w:hAnsi="仿宋" w:eastAsia="仿宋" w:cs="Arial"/>
                <w:color w:val="000000" w:themeColor="text1"/>
                <w14:textFill>
                  <w14:solidFill>
                    <w14:schemeClr w14:val="tx1"/>
                  </w14:solidFill>
                </w14:textFill>
              </w:rPr>
              <w:t>方案按时完成并经验收合格后，在中标人票证齐全、符合采购方付款流程的前提下，采购方在15日内支付费用。</w:t>
            </w:r>
          </w:p>
        </w:tc>
      </w:tr>
    </w:tbl>
    <w:p>
      <w:pPr>
        <w:spacing w:line="520" w:lineRule="exact"/>
        <w:jc w:val="left"/>
        <w:rPr>
          <w:rFonts w:ascii="仿宋_GB2312" w:hAnsi="仿宋" w:eastAsia="仿宋_GB2312"/>
          <w:sz w:val="24"/>
        </w:rPr>
      </w:pPr>
      <w:r>
        <w:rPr>
          <w:rFonts w:hint="eastAsia" w:ascii="仿宋_GB2312" w:hAnsi="仿宋" w:eastAsia="仿宋_GB2312"/>
          <w:sz w:val="24"/>
        </w:rPr>
        <w:t>四、投标人的资信要求表</w:t>
      </w:r>
    </w:p>
    <w:tbl>
      <w:tblPr>
        <w:tblStyle w:val="7"/>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6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vAlign w:val="top"/>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rPr>
              <w:t>质量管理、企业信用要求</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hint="eastAsia" w:ascii="仿宋_GB2312" w:hAnsi="仿宋" w:eastAsia="仿宋_GB2312" w:cs="Times New Roman"/>
                <w:color w:val="000000" w:themeColor="text1"/>
                <w14:textFill>
                  <w14:solidFill>
                    <w14:schemeClr w14:val="tx1"/>
                  </w14:solidFill>
                </w14:textFill>
              </w:rPr>
            </w:pPr>
            <w:r>
              <w:rPr>
                <w:rFonts w:hint="eastAsia" w:ascii="仿宋_GB2312" w:hAnsi="仿宋" w:eastAsia="仿宋_GB2312" w:cs="Times New Roman"/>
                <w:color w:val="000000" w:themeColor="text1"/>
                <w14:textFill>
                  <w14:solidFill>
                    <w14:schemeClr w14:val="tx1"/>
                  </w14:solidFill>
                </w14:textFill>
              </w:rPr>
              <w:t>（1）符合《中华人民共和国政府采购法》第二十二条供应商应当具备的条件和浙财采监【2013】24号《关于规范政府采购供应商资格设定及资格审查的通知》第六条规定的法人。</w:t>
            </w:r>
          </w:p>
          <w:p>
            <w:pPr>
              <w:pStyle w:val="2"/>
              <w:snapToGrid w:val="0"/>
              <w:spacing w:beforeLines="0" w:afterLines="0" w:line="240" w:lineRule="auto"/>
              <w:outlineLvl w:val="0"/>
              <w:rPr>
                <w:rFonts w:hint="eastAsia" w:ascii="仿宋_GB2312" w:hAnsi="仿宋" w:eastAsia="仿宋_GB2312" w:cs="Times New Roman"/>
                <w:color w:val="000000" w:themeColor="text1"/>
                <w14:textFill>
                  <w14:solidFill>
                    <w14:schemeClr w14:val="tx1"/>
                  </w14:solidFill>
                </w14:textFill>
              </w:rPr>
            </w:pPr>
            <w:r>
              <w:rPr>
                <w:rFonts w:hint="eastAsia" w:ascii="仿宋_GB2312" w:hAnsi="仿宋" w:eastAsia="仿宋_GB2312" w:cs="Times New Roman"/>
                <w:color w:val="000000" w:themeColor="text1"/>
                <w14:textFill>
                  <w14:solidFill>
                    <w14:schemeClr w14:val="tx1"/>
                  </w14:solidFill>
                </w14:textFill>
              </w:rPr>
              <w:t>（2）本次采购不接受联合体投标；</w:t>
            </w:r>
          </w:p>
          <w:p>
            <w:pPr>
              <w:pStyle w:val="2"/>
              <w:snapToGrid w:val="0"/>
              <w:spacing w:beforeLines="0" w:afterLines="0" w:line="240" w:lineRule="auto"/>
              <w:outlineLvl w:val="0"/>
              <w:rPr>
                <w:rFonts w:hint="eastAsia" w:ascii="仿宋_GB2312" w:hAnsi="仿宋" w:eastAsia="仿宋_GB2312" w:cs="Times New Roman"/>
                <w:color w:val="000000" w:themeColor="text1"/>
                <w14:textFill>
                  <w14:solidFill>
                    <w14:schemeClr w14:val="tx1"/>
                  </w14:solidFill>
                </w14:textFill>
              </w:rPr>
            </w:pPr>
            <w:r>
              <w:rPr>
                <w:rFonts w:hint="eastAsia" w:ascii="仿宋_GB2312" w:hAnsi="仿宋" w:eastAsia="仿宋_GB2312" w:cs="Times New Roman"/>
                <w:color w:val="000000" w:themeColor="text1"/>
                <w14:textFill>
                  <w14:solidFill>
                    <w14:schemeClr w14:val="tx1"/>
                  </w14:solidFill>
                </w14:textFill>
              </w:rPr>
              <w:t>（3）投标人未被列入失信被执行人名单、重大税收违法案件当事人名单、政府采购严重违法失信行为记录名单，信用信息以信用中国网站（www.creditchina.gov.cn）、中国政府采购网（www.ccgp.gov.cn）公布为准；</w:t>
            </w:r>
          </w:p>
          <w:p>
            <w:pPr>
              <w:pStyle w:val="2"/>
              <w:snapToGrid w:val="0"/>
              <w:spacing w:beforeLines="0" w:afterLines="0" w:line="240" w:lineRule="auto"/>
              <w:outlineLvl w:val="0"/>
              <w:rPr>
                <w:rFonts w:hint="eastAsia" w:ascii="仿宋_GB2312" w:hAnsi="仿宋" w:eastAsia="仿宋_GB2312" w:cs="Times New Roman"/>
                <w:color w:val="000000" w:themeColor="text1"/>
                <w14:textFill>
                  <w14:solidFill>
                    <w14:schemeClr w14:val="tx1"/>
                  </w14:solidFill>
                </w14:textFill>
              </w:rPr>
            </w:pPr>
            <w:r>
              <w:rPr>
                <w:rFonts w:hint="eastAsia" w:ascii="仿宋_GB2312" w:hAnsi="仿宋" w:eastAsia="仿宋_GB2312" w:cs="Times New Roman"/>
                <w:color w:val="000000" w:themeColor="text1"/>
                <w14:textFill>
                  <w14:solidFill>
                    <w14:schemeClr w14:val="tx1"/>
                  </w14:solidFill>
                </w14:textFill>
              </w:rPr>
              <w:t>（4）单位负责人为同一人或者存在直接控股、管理关系的不同供应商，不得参加同一合同项下的政府采购活动；</w:t>
            </w:r>
          </w:p>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cs="Times New Roman"/>
                <w:color w:val="000000" w:themeColor="text1"/>
                <w14:textFill>
                  <w14:solidFill>
                    <w14:schemeClr w14:val="tx1"/>
                  </w14:solidFill>
                </w14:textFill>
              </w:rPr>
              <w:t>（5）法律、行政法规规定的其他条件。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vAlign w:val="top"/>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rPr>
              <w:t>售后服务保障或维修响应时间要求</w:t>
            </w:r>
          </w:p>
        </w:tc>
        <w:tc>
          <w:tcPr>
            <w:tcW w:w="6975" w:type="dxa"/>
            <w:tcBorders>
              <w:top w:val="single" w:color="auto" w:sz="4" w:space="0"/>
              <w:left w:val="single" w:color="auto" w:sz="4" w:space="0"/>
              <w:bottom w:val="single" w:color="auto" w:sz="4" w:space="0"/>
              <w:right w:val="single" w:color="auto" w:sz="4" w:space="0"/>
            </w:tcBorders>
            <w:vAlign w:val="center"/>
          </w:tcPr>
          <w:p>
            <w:pPr>
              <w:pStyle w:val="2"/>
              <w:snapToGrid w:val="0"/>
              <w:spacing w:beforeLines="0" w:afterLines="0" w:line="240" w:lineRule="auto"/>
              <w:outlineLvl w:val="0"/>
              <w:rPr>
                <w:rFonts w:ascii="仿宋_GB2312" w:hAnsi="仿宋" w:eastAsia="仿宋_GB2312"/>
              </w:rPr>
            </w:pPr>
            <w:r>
              <w:rPr>
                <w:rFonts w:hint="eastAsia" w:ascii="仿宋_GB2312" w:hAnsi="仿宋" w:eastAsia="仿宋_GB2312"/>
                <w:color w:val="FF0000"/>
              </w:rPr>
              <w:t>后期</w:t>
            </w:r>
            <w:r>
              <w:rPr>
                <w:rFonts w:hint="eastAsia" w:ascii="仿宋_GB2312" w:hAnsi="仿宋" w:eastAsia="仿宋_GB2312"/>
                <w:color w:val="FF0000"/>
                <w:lang w:val="en-US" w:eastAsia="zh-CN"/>
              </w:rPr>
              <w:t>视频</w:t>
            </w:r>
            <w:r>
              <w:rPr>
                <w:rFonts w:hint="eastAsia" w:ascii="仿宋_GB2312" w:hAnsi="仿宋" w:eastAsia="仿宋_GB2312"/>
                <w:color w:val="FF0000"/>
              </w:rPr>
              <w:t>使用阶段，中标人须随时向采购人提供免费的技术支持。</w:t>
            </w:r>
          </w:p>
        </w:tc>
      </w:tr>
    </w:tbl>
    <w:p>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1B"/>
    <w:rsid w:val="00121F08"/>
    <w:rsid w:val="0024279E"/>
    <w:rsid w:val="002E49D1"/>
    <w:rsid w:val="0033540F"/>
    <w:rsid w:val="003F7BE2"/>
    <w:rsid w:val="00415C24"/>
    <w:rsid w:val="00484BA5"/>
    <w:rsid w:val="0053241B"/>
    <w:rsid w:val="005F23B7"/>
    <w:rsid w:val="00622D1B"/>
    <w:rsid w:val="006755D8"/>
    <w:rsid w:val="006C607E"/>
    <w:rsid w:val="007D457F"/>
    <w:rsid w:val="00936082"/>
    <w:rsid w:val="00AA1C6F"/>
    <w:rsid w:val="00B26428"/>
    <w:rsid w:val="00B42876"/>
    <w:rsid w:val="00B75FCA"/>
    <w:rsid w:val="00BC65E0"/>
    <w:rsid w:val="00F049D4"/>
    <w:rsid w:val="0A2B18FD"/>
    <w:rsid w:val="0E8F5EC1"/>
    <w:rsid w:val="28F30761"/>
    <w:rsid w:val="4AA06F8F"/>
    <w:rsid w:val="54A66037"/>
    <w:rsid w:val="60E671C2"/>
    <w:rsid w:val="62FF29DC"/>
    <w:rsid w:val="780D7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qFormat/>
    <w:uiPriority w:val="0"/>
    <w:pPr>
      <w:widowControl/>
      <w:overflowPunct w:val="0"/>
      <w:autoSpaceDE w:val="0"/>
      <w:autoSpaceDN w:val="0"/>
      <w:adjustRightInd w:val="0"/>
      <w:jc w:val="left"/>
    </w:pPr>
    <w:rPr>
      <w:rFonts w:ascii="宋体" w:hAnsi="Courier New" w:eastAsia="宋体" w:cs="Times New Roman"/>
      <w:kern w:val="0"/>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纯文本 字符"/>
    <w:basedOn w:val="8"/>
    <w:link w:val="2"/>
    <w:qFormat/>
    <w:uiPriority w:val="0"/>
    <w:rPr>
      <w:rFonts w:ascii="宋体" w:hAnsi="Courier New" w:eastAsia="宋体" w:cs="Times New Roman"/>
      <w:kern w:val="0"/>
      <w:szCs w:val="21"/>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200</Words>
  <Characters>1140</Characters>
  <Lines>9</Lines>
  <Paragraphs>2</Paragraphs>
  <TotalTime>0</TotalTime>
  <ScaleCrop>false</ScaleCrop>
  <LinksUpToDate>false</LinksUpToDate>
  <CharactersWithSpaces>1338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2021-03-16T02:13:00Z</dcterms:created>
  <dc:creator>邱宏霞</dc:creator>
  <cp:lastModifiedBy>J</cp:lastModifiedBy>
  <dcterms:modified xsi:type="dcterms:W3CDTF">2021-04-12T02:20:06Z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67550167D7F74C21B59F6C36E18D6045</vt:lpwstr>
  </property>
</Properties>
</file>